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935BC" w:rsidRDefault="005935BC" w:rsidP="005935BC">
      <w:pPr>
        <w:spacing w:line="480" w:lineRule="auto"/>
        <w:ind w:left="0" w:right="418" w:firstLine="720"/>
        <w:contextualSpacing/>
        <w:jc w:val="center"/>
      </w:pPr>
    </w:p>
    <w:p w:rsidR="005935BC" w:rsidRDefault="005935BC" w:rsidP="005935BC">
      <w:pPr>
        <w:spacing w:line="480" w:lineRule="auto"/>
        <w:ind w:left="0" w:right="418" w:firstLine="720"/>
        <w:contextualSpacing/>
        <w:jc w:val="center"/>
      </w:pPr>
    </w:p>
    <w:p w:rsidR="005935BC" w:rsidRDefault="005935BC" w:rsidP="005935BC">
      <w:pPr>
        <w:spacing w:line="480" w:lineRule="auto"/>
        <w:ind w:left="0" w:right="418" w:firstLine="720"/>
        <w:contextualSpacing/>
        <w:jc w:val="center"/>
      </w:pPr>
      <w:r>
        <w:t>GENDER ROLES AND ALTITUDES</w:t>
      </w:r>
    </w:p>
    <w:p w:rsidR="005935BC" w:rsidRDefault="005935BC" w:rsidP="005935BC">
      <w:pPr>
        <w:spacing w:line="480" w:lineRule="auto"/>
        <w:ind w:left="0" w:right="418" w:firstLine="720"/>
        <w:contextualSpacing/>
        <w:jc w:val="center"/>
      </w:pPr>
    </w:p>
    <w:p w:rsidR="005935BC" w:rsidRDefault="005935BC" w:rsidP="005935BC">
      <w:pPr>
        <w:spacing w:line="480" w:lineRule="auto"/>
        <w:ind w:left="0" w:right="418" w:firstLine="720"/>
        <w:contextualSpacing/>
        <w:jc w:val="center"/>
      </w:pPr>
    </w:p>
    <w:p w:rsidR="005935BC" w:rsidRDefault="005935BC" w:rsidP="005935BC">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5935BC" w:rsidRDefault="005935BC" w:rsidP="005935BC">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5935BC" w:rsidRDefault="005935BC" w:rsidP="005935BC">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Professor Name</w:t>
      </w:r>
    </w:p>
    <w:p w:rsidR="005935BC" w:rsidRDefault="005935BC" w:rsidP="005935BC">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935BC" w:rsidRDefault="005935BC" w:rsidP="005935BC">
      <w:pPr>
        <w:spacing w:line="480" w:lineRule="auto"/>
        <w:ind w:left="0" w:right="418" w:firstLine="720"/>
        <w:contextualSpacing/>
        <w:jc w:val="center"/>
      </w:pPr>
    </w:p>
    <w:p w:rsidR="005935BC" w:rsidRDefault="005935BC" w:rsidP="0020511F">
      <w:pPr>
        <w:spacing w:line="480" w:lineRule="auto"/>
        <w:ind w:left="0" w:right="418" w:firstLine="720"/>
        <w:contextualSpacing/>
        <w:jc w:val="left"/>
      </w:pPr>
    </w:p>
    <w:p w:rsidR="005935BC" w:rsidRDefault="005935BC" w:rsidP="0020511F">
      <w:pPr>
        <w:spacing w:line="480" w:lineRule="auto"/>
        <w:ind w:left="0" w:right="418" w:firstLine="720"/>
        <w:contextualSpacing/>
        <w:jc w:val="left"/>
      </w:pPr>
    </w:p>
    <w:p w:rsidR="005935BC" w:rsidRDefault="005935BC" w:rsidP="0020511F">
      <w:pPr>
        <w:spacing w:line="480" w:lineRule="auto"/>
        <w:ind w:left="0" w:right="418" w:firstLine="720"/>
        <w:contextualSpacing/>
        <w:jc w:val="left"/>
      </w:pPr>
    </w:p>
    <w:p w:rsidR="005935BC" w:rsidRDefault="005935BC" w:rsidP="0020511F">
      <w:pPr>
        <w:spacing w:line="480" w:lineRule="auto"/>
        <w:ind w:left="0" w:right="418" w:firstLine="720"/>
        <w:contextualSpacing/>
        <w:jc w:val="left"/>
      </w:pPr>
    </w:p>
    <w:p w:rsidR="005935BC" w:rsidRDefault="005935BC" w:rsidP="0020511F">
      <w:pPr>
        <w:spacing w:line="480" w:lineRule="auto"/>
        <w:ind w:left="0" w:right="418" w:firstLine="720"/>
        <w:contextualSpacing/>
        <w:jc w:val="left"/>
      </w:pPr>
    </w:p>
    <w:p w:rsidR="005935BC" w:rsidRDefault="005935BC" w:rsidP="0020511F">
      <w:pPr>
        <w:spacing w:line="480" w:lineRule="auto"/>
        <w:ind w:left="0" w:right="418" w:firstLine="720"/>
        <w:contextualSpacing/>
        <w:jc w:val="left"/>
      </w:pPr>
    </w:p>
    <w:p w:rsidR="005935BC" w:rsidRDefault="005935BC" w:rsidP="0020511F">
      <w:pPr>
        <w:spacing w:line="480" w:lineRule="auto"/>
        <w:ind w:left="0" w:right="418" w:firstLine="720"/>
        <w:contextualSpacing/>
        <w:jc w:val="left"/>
      </w:pPr>
    </w:p>
    <w:p w:rsidR="005935BC" w:rsidRDefault="005935BC" w:rsidP="0020511F">
      <w:pPr>
        <w:spacing w:line="480" w:lineRule="auto"/>
        <w:ind w:left="0" w:right="418" w:firstLine="720"/>
        <w:contextualSpacing/>
        <w:jc w:val="left"/>
      </w:pPr>
    </w:p>
    <w:p w:rsidR="005935BC" w:rsidRDefault="005935BC" w:rsidP="0020511F">
      <w:pPr>
        <w:spacing w:line="480" w:lineRule="auto"/>
        <w:ind w:left="0" w:right="418" w:firstLine="720"/>
        <w:contextualSpacing/>
        <w:jc w:val="left"/>
      </w:pPr>
    </w:p>
    <w:p w:rsidR="005935BC" w:rsidRDefault="005935BC" w:rsidP="0020511F">
      <w:pPr>
        <w:spacing w:line="480" w:lineRule="auto"/>
        <w:ind w:left="0" w:right="418" w:firstLine="720"/>
        <w:contextualSpacing/>
        <w:jc w:val="left"/>
      </w:pPr>
    </w:p>
    <w:p w:rsidR="005935BC" w:rsidRDefault="005935BC" w:rsidP="0020511F">
      <w:pPr>
        <w:spacing w:line="480" w:lineRule="auto"/>
        <w:ind w:left="0" w:right="418" w:firstLine="720"/>
        <w:contextualSpacing/>
        <w:jc w:val="left"/>
      </w:pPr>
    </w:p>
    <w:p w:rsidR="005935BC" w:rsidRDefault="005935BC" w:rsidP="0020511F">
      <w:pPr>
        <w:spacing w:line="480" w:lineRule="auto"/>
        <w:ind w:left="0" w:right="418" w:firstLine="720"/>
        <w:contextualSpacing/>
        <w:jc w:val="left"/>
      </w:pPr>
    </w:p>
    <w:p w:rsidR="005935BC" w:rsidRDefault="005935BC" w:rsidP="0020511F">
      <w:pPr>
        <w:spacing w:line="480" w:lineRule="auto"/>
        <w:ind w:left="0" w:right="418" w:firstLine="720"/>
        <w:contextualSpacing/>
        <w:jc w:val="left"/>
      </w:pPr>
    </w:p>
    <w:p w:rsidR="0020511F" w:rsidRDefault="0020511F" w:rsidP="0020511F">
      <w:pPr>
        <w:spacing w:line="480" w:lineRule="auto"/>
        <w:ind w:left="0" w:right="418" w:firstLine="720"/>
        <w:contextualSpacing/>
        <w:jc w:val="left"/>
      </w:pPr>
      <w:r>
        <w:lastRenderedPageBreak/>
        <w:t xml:space="preserve">Many crucial aspects tell whether a boy is a boy and a girl is a girl. There is a cultural element involved too. Male traits include being tough, powerful, and possessing self-confidence. Gentleness is a symbol of femininity; passivity is also one of the myths of femininity. In this study of the "typical" cues describing what a boy or girl is expected to look and behave like, Aaron </w:t>
      </w:r>
      <w:proofErr w:type="spellStart"/>
      <w:r>
        <w:t>Devor</w:t>
      </w:r>
      <w:proofErr w:type="spellEnd"/>
      <w:r>
        <w:t xml:space="preserve"> reveals how these indicators are not "natural" in any way at all. The normal masculinity ideals include self-confidence, tough behaviors, disdain for women, the conventional definition of femininity, and stamina.</w:t>
      </w:r>
      <w:r w:rsidR="005935BC">
        <w:t>(</w:t>
      </w:r>
      <w:proofErr w:type="spellStart"/>
      <w:r w:rsidR="005935BC">
        <w:t>Devor</w:t>
      </w:r>
      <w:proofErr w:type="spellEnd"/>
      <w:r w:rsidR="005935BC">
        <w:t xml:space="preserve"> ,2019).</w:t>
      </w:r>
    </w:p>
    <w:p w:rsidR="0020511F" w:rsidRDefault="0020511F" w:rsidP="0020511F">
      <w:pPr>
        <w:spacing w:line="480" w:lineRule="auto"/>
        <w:ind w:left="0" w:right="418" w:firstLine="720"/>
        <w:contextualSpacing/>
        <w:jc w:val="left"/>
      </w:pPr>
      <w:r>
        <w:t>There are also some issues where men and women are still segregated. Men over women typically carry out domination. A more balanced definition of the essence of gendered virtues would be to regard them as concerned with success and competitiveness or communion and confrontation, respectively. Labeling femininity or masculinity in just such a manner where the two genders are viewed as belonging in a dominant connection to one another is wrong. This simplistic understanding of gender norms captures the dominant and competitive masculinity's power thirst. It can, but need not, contribute to violence and the communal female desire for peace and well-being, which also can, but still need not, result in complacency and dependency</w:t>
      </w:r>
      <w:r w:rsidR="00160DA4">
        <w:t xml:space="preserve"> </w:t>
      </w:r>
      <w:r w:rsidR="005935BC">
        <w:t>(</w:t>
      </w:r>
      <w:proofErr w:type="spellStart"/>
      <w:r w:rsidR="005935BC">
        <w:t>Devor</w:t>
      </w:r>
      <w:proofErr w:type="spellEnd"/>
      <w:r w:rsidR="005935BC">
        <w:t xml:space="preserve"> ,2019)</w:t>
      </w:r>
      <w:r>
        <w:t>. Most people regard many facets of life as generally feminine. All of these may be shown by people of any gender. It has been found that the observers always overlook cross-gender activities, so no one's identity is affected. These are identified as being manifestations of improper gender stereotypes. Dominant males of each gender use various indirect strategies.</w:t>
      </w:r>
    </w:p>
    <w:p w:rsidR="0020511F" w:rsidRDefault="0020511F" w:rsidP="005935BC">
      <w:pPr>
        <w:spacing w:before="240" w:line="480" w:lineRule="auto"/>
        <w:ind w:left="0" w:right="418" w:firstLine="720"/>
        <w:contextualSpacing/>
        <w:jc w:val="left"/>
      </w:pPr>
      <w:r>
        <w:t xml:space="preserve">Male dominance is natural. Males have little choice but to exhibit masculine traits. Any personality traits are produced unconsciously without any intention to grow them. If you look at common definitions of gender, they are based on authoritative appraisals of "natural" male/female roles. People of both genders share most of the same traits as humans </w:t>
      </w:r>
      <w:r>
        <w:lastRenderedPageBreak/>
        <w:t>in terms of motivations and personalities. Individuals who do things deemed suitable for the opposite gender will then be ridiculed, which will make them lose. The gender schemas hypothesis perceives males' dominance as the inevitable result of aggressive behavior inherent among males</w:t>
      </w:r>
      <w:r w:rsidR="005935BC">
        <w:t xml:space="preserve"> (</w:t>
      </w:r>
      <w:proofErr w:type="spellStart"/>
      <w:r w:rsidR="005935BC">
        <w:rPr>
          <w:rFonts w:ascii="Arial" w:hAnsi="Arial" w:cs="Arial"/>
          <w:color w:val="222222"/>
          <w:sz w:val="20"/>
          <w:szCs w:val="20"/>
          <w:shd w:val="clear" w:color="auto" w:fill="FFFFFF"/>
        </w:rPr>
        <w:t>Liewald</w:t>
      </w:r>
      <w:proofErr w:type="spellEnd"/>
      <w:r w:rsidR="005935BC">
        <w:rPr>
          <w:rFonts w:ascii="Arial" w:hAnsi="Arial" w:cs="Arial"/>
          <w:color w:val="222222"/>
          <w:sz w:val="20"/>
          <w:szCs w:val="20"/>
          <w:shd w:val="clear" w:color="auto" w:fill="FFFFFF"/>
        </w:rPr>
        <w:t>, K. (2016).</w:t>
      </w:r>
      <w:r>
        <w:t xml:space="preserve"> Female roles are merely the product of development and has come from the earlier stages of the evolution of the human behave. They are born from a woman's inherent femininity. There is a common misconception that females' social status is inherent; girls dominate caregiving. The aims of femininity revolve around women being heterosexual and mothers</w:t>
      </w:r>
      <w:r w:rsidR="005935BC">
        <w:t xml:space="preserve"> (</w:t>
      </w:r>
      <w:proofErr w:type="spellStart"/>
      <w:r w:rsidR="005935BC">
        <w:rPr>
          <w:rFonts w:ascii="Arial" w:hAnsi="Arial" w:cs="Arial"/>
          <w:color w:val="222222"/>
          <w:sz w:val="20"/>
          <w:szCs w:val="20"/>
          <w:shd w:val="clear" w:color="auto" w:fill="FFFFFF"/>
        </w:rPr>
        <w:t>Poteat</w:t>
      </w:r>
      <w:proofErr w:type="spellEnd"/>
      <w:r w:rsidR="005935BC">
        <w:rPr>
          <w:rFonts w:ascii="Arial" w:hAnsi="Arial" w:cs="Arial"/>
          <w:color w:val="222222"/>
          <w:sz w:val="20"/>
          <w:szCs w:val="20"/>
          <w:shd w:val="clear" w:color="auto" w:fill="FFFFFF"/>
        </w:rPr>
        <w:t xml:space="preserve"> et al ,2019)</w:t>
      </w:r>
      <w:r>
        <w:t>.</w:t>
      </w:r>
    </w:p>
    <w:p w:rsidR="0020511F" w:rsidRDefault="0020511F" w:rsidP="0020511F">
      <w:pPr>
        <w:spacing w:line="480" w:lineRule="auto"/>
        <w:ind w:left="0" w:right="418" w:firstLine="720"/>
        <w:contextualSpacing/>
        <w:jc w:val="left"/>
      </w:pPr>
      <w:r>
        <w:t>It also says about the individual's behaviors and values. Speech may also be an act of piety and compassion, particularly to women. It is an example of gentleness and kind-heartedness. If you're asking many questions, it's more masculine because male needs to know "everything" because they don't seem to have many questions. If the individual has a good, young-sounding voice, they are assumed to be male. If indeed the voice sounds quite rich and a bit older masculine voices are usually considered. Females are also derogated because of their dress and beauty. Suppose reveal skin plainly displaying sexual features, even without trying. Individuals with submissive postures and behaviors are perceived to be vulnerable women</w:t>
      </w:r>
      <w:r w:rsidR="005935BC">
        <w:t>(Denver,2019)</w:t>
      </w:r>
      <w:r>
        <w:t>.</w:t>
      </w:r>
    </w:p>
    <w:p w:rsidR="0020511F" w:rsidRDefault="0020511F" w:rsidP="0020511F">
      <w:pPr>
        <w:spacing w:line="480" w:lineRule="auto"/>
        <w:ind w:left="1699" w:right="418" w:firstLine="0"/>
        <w:contextualSpacing/>
        <w:jc w:val="left"/>
      </w:pPr>
      <w:r>
        <w:t xml:space="preserve"> </w:t>
      </w:r>
    </w:p>
    <w:p w:rsidR="0020511F" w:rsidRDefault="0020511F" w:rsidP="0020511F">
      <w:pPr>
        <w:spacing w:line="480" w:lineRule="auto"/>
        <w:ind w:left="1699" w:right="418" w:firstLine="0"/>
        <w:contextualSpacing/>
        <w:jc w:val="left"/>
      </w:pPr>
      <w:r>
        <w:t xml:space="preserve"> </w:t>
      </w:r>
    </w:p>
    <w:p w:rsidR="005935BC" w:rsidRDefault="005935BC" w:rsidP="005935BC">
      <w:pPr>
        <w:spacing w:line="480" w:lineRule="auto"/>
        <w:ind w:left="0" w:right="418" w:firstLine="0"/>
        <w:contextualSpacing/>
        <w:rPr>
          <w:b/>
        </w:rPr>
      </w:pPr>
      <w:r>
        <w:rPr>
          <w:b/>
        </w:rPr>
        <w:t xml:space="preserve">                                                      </w:t>
      </w:r>
    </w:p>
    <w:p w:rsidR="005935BC" w:rsidRDefault="005935BC" w:rsidP="005935BC">
      <w:pPr>
        <w:spacing w:line="480" w:lineRule="auto"/>
        <w:ind w:left="0" w:right="418" w:firstLine="0"/>
        <w:contextualSpacing/>
        <w:rPr>
          <w:b/>
        </w:rPr>
      </w:pPr>
    </w:p>
    <w:p w:rsidR="005935BC" w:rsidRDefault="005935BC" w:rsidP="005935BC">
      <w:pPr>
        <w:spacing w:line="480" w:lineRule="auto"/>
        <w:ind w:left="0" w:right="418" w:firstLine="0"/>
        <w:contextualSpacing/>
        <w:rPr>
          <w:b/>
        </w:rPr>
      </w:pPr>
    </w:p>
    <w:p w:rsidR="00AC1AF9" w:rsidRDefault="0020511F" w:rsidP="005935BC">
      <w:pPr>
        <w:spacing w:line="480" w:lineRule="auto"/>
        <w:ind w:left="0" w:right="418" w:firstLine="0"/>
        <w:contextualSpacing/>
        <w:jc w:val="center"/>
        <w:rPr>
          <w:b/>
        </w:rPr>
      </w:pPr>
      <w:r w:rsidRPr="0020511F">
        <w:rPr>
          <w:b/>
        </w:rPr>
        <w:t>References</w:t>
      </w:r>
    </w:p>
    <w:p w:rsidR="0020511F" w:rsidRDefault="0020511F" w:rsidP="005935BC">
      <w:pPr>
        <w:spacing w:line="480" w:lineRule="auto"/>
        <w:ind w:left="720" w:right="418" w:hanging="720"/>
        <w:contextualSpacing/>
        <w:jc w:val="left"/>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Devor</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Haefele</w:t>
      </w:r>
      <w:proofErr w:type="spellEnd"/>
      <w:r>
        <w:rPr>
          <w:rFonts w:ascii="Arial" w:hAnsi="Arial" w:cs="Arial"/>
          <w:color w:val="222222"/>
          <w:sz w:val="20"/>
          <w:szCs w:val="20"/>
          <w:shd w:val="clear" w:color="auto" w:fill="FFFFFF"/>
        </w:rPr>
        <w:t>-Thomas, A. (2019). </w:t>
      </w:r>
      <w:r>
        <w:rPr>
          <w:rFonts w:ascii="Arial" w:hAnsi="Arial" w:cs="Arial"/>
          <w:i/>
          <w:iCs/>
          <w:color w:val="222222"/>
          <w:sz w:val="20"/>
          <w:szCs w:val="20"/>
          <w:shd w:val="clear" w:color="auto" w:fill="FFFFFF"/>
        </w:rPr>
        <w:t>Transgender: A reference handbook</w:t>
      </w:r>
      <w:r>
        <w:rPr>
          <w:rFonts w:ascii="Arial" w:hAnsi="Arial" w:cs="Arial"/>
          <w:color w:val="222222"/>
          <w:sz w:val="20"/>
          <w:szCs w:val="20"/>
          <w:shd w:val="clear" w:color="auto" w:fill="FFFFFF"/>
        </w:rPr>
        <w:t>. ABC-CLIO.</w:t>
      </w:r>
    </w:p>
    <w:p w:rsidR="0020511F" w:rsidRDefault="0020511F" w:rsidP="005935BC">
      <w:pPr>
        <w:spacing w:line="480" w:lineRule="auto"/>
        <w:ind w:left="720" w:right="418" w:hanging="720"/>
        <w:contextualSpacing/>
        <w:jc w:val="left"/>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lastRenderedPageBreak/>
        <w:t>Liewald</w:t>
      </w:r>
      <w:proofErr w:type="spellEnd"/>
      <w:r>
        <w:rPr>
          <w:rFonts w:ascii="Arial" w:hAnsi="Arial" w:cs="Arial"/>
          <w:color w:val="222222"/>
          <w:sz w:val="20"/>
          <w:szCs w:val="20"/>
          <w:shd w:val="clear" w:color="auto" w:fill="FFFFFF"/>
        </w:rPr>
        <w:t>, K. (2016). Comparative Analysis of the Depiction of Gender Roles in A League of Their Own. </w:t>
      </w:r>
      <w:r>
        <w:rPr>
          <w:rFonts w:ascii="Arial" w:hAnsi="Arial" w:cs="Arial"/>
          <w:i/>
          <w:iCs/>
          <w:color w:val="222222"/>
          <w:sz w:val="20"/>
          <w:szCs w:val="20"/>
          <w:shd w:val="clear" w:color="auto" w:fill="FFFFFF"/>
        </w:rPr>
        <w:t>ESSAI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 24.</w:t>
      </w:r>
    </w:p>
    <w:p w:rsidR="0020511F" w:rsidRPr="0020511F" w:rsidRDefault="0020511F" w:rsidP="005935BC">
      <w:pPr>
        <w:spacing w:line="480" w:lineRule="auto"/>
        <w:ind w:left="720" w:right="418" w:hanging="720"/>
        <w:contextualSpacing/>
        <w:jc w:val="left"/>
        <w:rPr>
          <w:b/>
        </w:rPr>
      </w:pPr>
      <w:proofErr w:type="spellStart"/>
      <w:r>
        <w:rPr>
          <w:rFonts w:ascii="Arial" w:hAnsi="Arial" w:cs="Arial"/>
          <w:color w:val="222222"/>
          <w:sz w:val="20"/>
          <w:szCs w:val="20"/>
          <w:shd w:val="clear" w:color="auto" w:fill="FFFFFF"/>
        </w:rPr>
        <w:t>Poteat</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Rachlin</w:t>
      </w:r>
      <w:proofErr w:type="spellEnd"/>
      <w:r>
        <w:rPr>
          <w:rFonts w:ascii="Arial" w:hAnsi="Arial" w:cs="Arial"/>
          <w:color w:val="222222"/>
          <w:sz w:val="20"/>
          <w:szCs w:val="20"/>
          <w:shd w:val="clear" w:color="auto" w:fill="FFFFFF"/>
        </w:rPr>
        <w:t xml:space="preserve">, K., </w:t>
      </w:r>
      <w:proofErr w:type="spellStart"/>
      <w:r>
        <w:rPr>
          <w:rFonts w:ascii="Arial" w:hAnsi="Arial" w:cs="Arial"/>
          <w:color w:val="222222"/>
          <w:sz w:val="20"/>
          <w:szCs w:val="20"/>
          <w:shd w:val="clear" w:color="auto" w:fill="FFFFFF"/>
        </w:rPr>
        <w:t>Lare</w:t>
      </w:r>
      <w:proofErr w:type="spellEnd"/>
      <w:r>
        <w:rPr>
          <w:rFonts w:ascii="Arial" w:hAnsi="Arial" w:cs="Arial"/>
          <w:color w:val="222222"/>
          <w:sz w:val="20"/>
          <w:szCs w:val="20"/>
          <w:shd w:val="clear" w:color="auto" w:fill="FFFFFF"/>
        </w:rPr>
        <w:t xml:space="preserve">, S., Janssen, A., &amp; </w:t>
      </w:r>
      <w:proofErr w:type="spellStart"/>
      <w:r>
        <w:rPr>
          <w:rFonts w:ascii="Arial" w:hAnsi="Arial" w:cs="Arial"/>
          <w:color w:val="222222"/>
          <w:sz w:val="20"/>
          <w:szCs w:val="20"/>
          <w:shd w:val="clear" w:color="auto" w:fill="FFFFFF"/>
        </w:rPr>
        <w:t>Devor</w:t>
      </w:r>
      <w:proofErr w:type="spellEnd"/>
      <w:r>
        <w:rPr>
          <w:rFonts w:ascii="Arial" w:hAnsi="Arial" w:cs="Arial"/>
          <w:color w:val="222222"/>
          <w:sz w:val="20"/>
          <w:szCs w:val="20"/>
          <w:shd w:val="clear" w:color="auto" w:fill="FFFFFF"/>
        </w:rPr>
        <w:t>, A. (2019). History and prevalence of gender dysphoria. In </w:t>
      </w:r>
      <w:r>
        <w:rPr>
          <w:rFonts w:ascii="Arial" w:hAnsi="Arial" w:cs="Arial"/>
          <w:i/>
          <w:iCs/>
          <w:color w:val="222222"/>
          <w:sz w:val="20"/>
          <w:szCs w:val="20"/>
          <w:shd w:val="clear" w:color="auto" w:fill="FFFFFF"/>
        </w:rPr>
        <w:t>Transgender Medicine</w:t>
      </w:r>
      <w:r>
        <w:rPr>
          <w:rFonts w:ascii="Arial" w:hAnsi="Arial" w:cs="Arial"/>
          <w:color w:val="222222"/>
          <w:sz w:val="20"/>
          <w:szCs w:val="20"/>
          <w:shd w:val="clear" w:color="auto" w:fill="FFFFFF"/>
        </w:rPr>
        <w:t> (pp. 1-24). Humana Press, Cham.</w:t>
      </w:r>
    </w:p>
    <w:sectPr w:rsidR="0020511F" w:rsidRPr="0020511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28E1" w:rsidRDefault="000C28E1" w:rsidP="005935BC">
      <w:pPr>
        <w:spacing w:after="0" w:line="240" w:lineRule="auto"/>
      </w:pPr>
      <w:r>
        <w:separator/>
      </w:r>
    </w:p>
  </w:endnote>
  <w:endnote w:type="continuationSeparator" w:id="0">
    <w:p w:rsidR="000C28E1" w:rsidRDefault="000C28E1" w:rsidP="00593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28E1" w:rsidRDefault="000C28E1" w:rsidP="005935BC">
      <w:pPr>
        <w:spacing w:after="0" w:line="240" w:lineRule="auto"/>
      </w:pPr>
      <w:r>
        <w:separator/>
      </w:r>
    </w:p>
  </w:footnote>
  <w:footnote w:type="continuationSeparator" w:id="0">
    <w:p w:rsidR="000C28E1" w:rsidRDefault="000C28E1" w:rsidP="005935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4555723"/>
      <w:docPartObj>
        <w:docPartGallery w:val="Page Numbers (Top of Page)"/>
        <w:docPartUnique/>
      </w:docPartObj>
    </w:sdtPr>
    <w:sdtEndPr>
      <w:rPr>
        <w:noProof/>
      </w:rPr>
    </w:sdtEndPr>
    <w:sdtContent>
      <w:p w:rsidR="005935BC" w:rsidRDefault="005935BC">
        <w:pPr>
          <w:pStyle w:val="Header"/>
          <w:jc w:val="right"/>
        </w:pPr>
        <w:r>
          <w:fldChar w:fldCharType="begin"/>
        </w:r>
        <w:r>
          <w:instrText xml:space="preserve"> PAGE   \* MERGEFORMAT </w:instrText>
        </w:r>
        <w:r>
          <w:fldChar w:fldCharType="separate"/>
        </w:r>
        <w:r w:rsidR="00160DA4">
          <w:rPr>
            <w:noProof/>
          </w:rPr>
          <w:t>3</w:t>
        </w:r>
        <w:r>
          <w:rPr>
            <w:noProof/>
          </w:rPr>
          <w:fldChar w:fldCharType="end"/>
        </w:r>
      </w:p>
    </w:sdtContent>
  </w:sdt>
  <w:p w:rsidR="005935BC" w:rsidRDefault="005935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8A0"/>
    <w:rsid w:val="000C28E1"/>
    <w:rsid w:val="00160DA4"/>
    <w:rsid w:val="0020511F"/>
    <w:rsid w:val="005935BC"/>
    <w:rsid w:val="008559CC"/>
    <w:rsid w:val="00AC1AF9"/>
    <w:rsid w:val="00BC28A0"/>
    <w:rsid w:val="00E40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15BFD-D463-4A26-8817-226B518DA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Calibri"/>
        <w:color w:val="000000"/>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8A0"/>
    <w:pPr>
      <w:spacing w:after="3" w:line="339" w:lineRule="auto"/>
      <w:ind w:left="1695" w:right="420" w:firstLine="302"/>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35BC"/>
    <w:pPr>
      <w:spacing w:after="0" w:line="240" w:lineRule="auto"/>
    </w:pPr>
    <w:rPr>
      <w:rFonts w:asciiTheme="minorHAnsi" w:hAnsiTheme="minorHAnsi" w:cstheme="minorBidi"/>
      <w:color w:val="auto"/>
      <w:sz w:val="22"/>
    </w:rPr>
  </w:style>
  <w:style w:type="paragraph" w:styleId="Header">
    <w:name w:val="header"/>
    <w:basedOn w:val="Normal"/>
    <w:link w:val="HeaderChar"/>
    <w:uiPriority w:val="99"/>
    <w:unhideWhenUsed/>
    <w:rsid w:val="00593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5BC"/>
  </w:style>
  <w:style w:type="paragraph" w:styleId="Footer">
    <w:name w:val="footer"/>
    <w:basedOn w:val="Normal"/>
    <w:link w:val="FooterChar"/>
    <w:uiPriority w:val="99"/>
    <w:unhideWhenUsed/>
    <w:rsid w:val="00593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ADMIN254</dc:creator>
  <cp:keywords/>
  <dc:description/>
  <cp:lastModifiedBy>254716226303</cp:lastModifiedBy>
  <cp:revision>2</cp:revision>
  <dcterms:created xsi:type="dcterms:W3CDTF">2021-01-31T15:08:00Z</dcterms:created>
  <dcterms:modified xsi:type="dcterms:W3CDTF">2021-01-31T15:08:00Z</dcterms:modified>
</cp:coreProperties>
</file>